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УТВЕРЖДАЮ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Первый заместитель Генерального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директора - главный инженер 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АО "Сахаэнерго"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______________/Копырин Н.М./</w:t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Style35"/>
        <w:widowControl w:val="false"/>
        <w:spacing w:before="0" w:after="198"/>
        <w:contextualSpacing/>
        <w:jc w:val="center"/>
        <w:rPr/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auto" w:val="clear"/>
          <w:em w:val="none"/>
          <w:lang w:val="en-US" w:eastAsia="ru-RU" w:bidi="ar-SA"/>
        </w:rPr>
        <w:t>ОКПД2 08.12.12.160 Поставка песчано-гравийной смеси для ДЭС Жилинда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  <w:lang w:bidi="ar-SA"/>
        </w:rPr>
      </w:pPr>
      <w:r>
        <w:rPr>
          <w:b/>
          <w:bCs/>
          <w:sz w:val="24"/>
          <w:szCs w:val="24"/>
          <w:lang w:bidi="ar-SA"/>
        </w:rPr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 xml:space="preserve">Лот № 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ru-RU" w:eastAsia="ru-RU" w:bidi="ar-SA"/>
        </w:rPr>
        <w:t>80501-РЕМ ПРОД-2026-СахаЭ</w:t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bCs/>
          <w:color w:val="auto"/>
          <w:sz w:val="24"/>
          <w:szCs w:val="24"/>
          <w:lang w:val="ru-RU" w:eastAsia="ru-RU" w:bidi="ar-SA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124165064" w:tgtFrame="#_Toc124165064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5" w:tgtFrame="#_Toc124165065">
            <w:r>
              <w:rPr>
                <w:webHidden/>
                <w:rStyle w:val="Style14"/>
                <w:iCs/>
                <w:vanish w:val="false"/>
              </w:rPr>
              <w:t>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6" w:tgtFrame="#_Toc124165066">
            <w:r>
              <w:rPr>
                <w:webHidden/>
                <w:rStyle w:val="Style14"/>
                <w:iCs/>
                <w:vanish w:val="false"/>
              </w:rPr>
              <w:t>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Наименование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67" w:tgtFrame="#_Toc124165067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8" w:tgtFrame="#_Toc124165068">
            <w:r>
              <w:rPr>
                <w:webHidden/>
                <w:rStyle w:val="Style14"/>
                <w:iCs/>
                <w:vanish w:val="false"/>
              </w:rPr>
              <w:t>2.1.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объемам и срокам поставки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9" w:tgtFrame="#_Toc124165069">
            <w:r>
              <w:rPr>
                <w:webHidden/>
                <w:rStyle w:val="Style14"/>
                <w:vanish w:val="false"/>
              </w:rPr>
              <w:t>2.1.1.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0" w:tgtFrame="#_Toc1241650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_Toc124165070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1.1 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1" w:tgtFrame="#_Toc124165071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срокам поставки продукции и оказания сопутствующих услуг</w:t>
              <w:tab/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2" w:tgtFrame="#_Toc124165072">
            <w:r>
              <w:rPr>
                <w:webHidden/>
                <w:rStyle w:val="Style14"/>
                <w:vanish w:val="false"/>
              </w:rPr>
              <w:t>Таблица 2.1 Требования по срокам поставки продукции</w:t>
              <w:tab/>
            </w:r>
          </w:hyperlink>
          <w:r>
            <w:rPr>
              <w:vanish w:val="false"/>
            </w:rPr>
            <w:t>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3" w:tgtFrame="#_Toc124165073">
            <w:r>
              <w:rPr>
                <w:webHidden/>
                <w:rStyle w:val="Style14"/>
                <w:iCs/>
                <w:vanish w:val="false"/>
              </w:rPr>
              <w:t>2.2.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качеству продукции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4" w:tgtFrame="#_Toc124165074">
            <w:r>
              <w:rPr>
                <w:webHidden/>
                <w:rStyle w:val="Style14"/>
                <w:vanish w:val="false"/>
              </w:rPr>
              <w:t>Таблица 3. Требования к продукции</w:t>
              <w:tab/>
            </w:r>
          </w:hyperlink>
          <w:r>
            <w:rPr>
              <w:vanish w:val="false"/>
            </w:rPr>
            <w:t>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5" w:tgtFrame="#_Toc124165075">
            <w:r>
              <w:rPr>
                <w:webHidden/>
                <w:rStyle w:val="Style14"/>
                <w:vanish w:val="false"/>
              </w:rPr>
              <w:t>3.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закупки</w:t>
              <w:tab/>
            </w:r>
          </w:hyperlink>
          <w:r>
            <w:rPr/>
            <w:t>11</w:t>
          </w:r>
          <w:r>
            <w:rPr/>
            <w:fldChar w:fldCharType="end"/>
          </w:r>
        </w:p>
      </w:sdtContent>
    </w:sdt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4165064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124165065"/>
      <w:bookmarkStart w:id="3" w:name="_Toc4674350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jc w:val="left"/>
        <w:rPr/>
      </w:pPr>
      <w:bookmarkStart w:id="4" w:name="_Toc46743506"/>
      <w:bookmarkStart w:id="5" w:name="_Toc124165066"/>
      <w:r>
        <w:rPr/>
        <w:t>Наименование закупаемой продукции</w:t>
      </w:r>
      <w:bookmarkEnd w:id="4"/>
      <w:bookmarkEnd w:id="5"/>
    </w:p>
    <w:p>
      <w:pPr>
        <w:pStyle w:val="Heading4"/>
        <w:numPr>
          <w:ilvl w:val="0"/>
          <w:numId w:val="0"/>
        </w:numPr>
        <w:ind w:left="432" w:hanging="0"/>
        <w:jc w:val="left"/>
        <w:rPr/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auto" w:val="clear"/>
          <w:em w:val="none"/>
          <w:lang w:val="en-US" w:eastAsia="ru-RU" w:bidi="ar-SA"/>
        </w:rPr>
        <w:t>Поставка песчано-гравийной смеси для ДЭС Жилинда</w:t>
      </w: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6" w:name="_Toc51339693"/>
      <w:bookmarkStart w:id="7" w:name="_Toc124165067"/>
      <w:bookmarkStart w:id="8" w:name="_Toc50125126"/>
      <w:bookmarkStart w:id="9" w:name="_Toc46743510"/>
      <w:bookmarkEnd w:id="8"/>
      <w:bookmarkEnd w:id="9"/>
      <w:r>
        <w:rPr>
          <w:iCs/>
        </w:rPr>
        <w:t>Требования к продукции</w:t>
      </w:r>
      <w:bookmarkEnd w:id="6"/>
      <w:bookmarkEnd w:id="7"/>
    </w:p>
    <w:p>
      <w:pPr>
        <w:pStyle w:val="Heading4"/>
        <w:numPr>
          <w:ilvl w:val="1"/>
          <w:numId w:val="3"/>
        </w:numPr>
        <w:rPr/>
      </w:pPr>
      <w:bookmarkStart w:id="10" w:name="_Toc124165068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0"/>
    </w:p>
    <w:p>
      <w:pPr>
        <w:pStyle w:val="Heading3"/>
        <w:numPr>
          <w:ilvl w:val="2"/>
          <w:numId w:val="3"/>
        </w:numPr>
        <w:rPr/>
      </w:pPr>
      <w:bookmarkStart w:id="11" w:name="_Toc124165069"/>
      <w:r>
        <w:rPr>
          <w:lang w:val="ru-RU"/>
        </w:rPr>
        <w:t>Перечень и объем закупаемой продукции</w:t>
      </w:r>
      <w:bookmarkEnd w:id="11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2" w:name="_Toc124165070"/>
      <w:bookmarkStart w:id="13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3"/>
      <w:r>
        <w:rPr>
          <w:sz w:val="24"/>
          <w:szCs w:val="24"/>
          <w:lang w:val="ru-RU"/>
        </w:rPr>
        <w:t>и объем закупаемой продукции</w:t>
      </w:r>
      <w:bookmarkEnd w:id="12"/>
    </w:p>
    <w:tbl>
      <w:tblPr>
        <w:tblW w:w="10140" w:type="dxa"/>
        <w:jc w:val="left"/>
        <w:tblInd w:w="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28"/>
        <w:gridCol w:w="3192"/>
        <w:gridCol w:w="1319"/>
        <w:gridCol w:w="1180"/>
        <w:gridCol w:w="1481"/>
        <w:gridCol w:w="2439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Код ОКПД2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Применение законодательства о национальном режиме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08.12.12.160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 на приобретение российской продукции</w:t>
            </w:r>
          </w:p>
        </w:tc>
      </w:tr>
    </w:tbl>
    <w:p>
      <w:pPr>
        <w:pStyle w:val="Heading3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14" w:name="_Toc124165071"/>
      <w:bookmarkStart w:id="15" w:name="_Toc51339696"/>
      <w:r>
        <w:rPr>
          <w:lang w:val="ru-RU"/>
        </w:rPr>
        <w:t xml:space="preserve">Требования </w:t>
      </w:r>
      <w:bookmarkEnd w:id="15"/>
      <w:r>
        <w:rPr>
          <w:lang w:val="ru-RU"/>
        </w:rPr>
        <w:t>к срокам поставки продукции и оказания сопутствующих услуг</w:t>
      </w:r>
      <w:bookmarkEnd w:id="14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6" w:name="_Toc124165072"/>
      <w:bookmarkStart w:id="17" w:name="_Toc51339697"/>
      <w:bookmarkStart w:id="18" w:name="_Toc50125127"/>
      <w:bookmarkStart w:id="19" w:name="_Toc50125126_Копия_1"/>
      <w:bookmarkEnd w:id="1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0" w:name="_Hlk50465284"/>
      <w:r>
        <w:rPr>
          <w:sz w:val="24"/>
          <w:szCs w:val="24"/>
        </w:rPr>
        <w:t xml:space="preserve">Требования по срокам </w:t>
      </w:r>
      <w:bookmarkEnd w:id="17"/>
      <w:bookmarkEnd w:id="18"/>
      <w:bookmarkEnd w:id="20"/>
      <w:r>
        <w:rPr>
          <w:sz w:val="24"/>
          <w:szCs w:val="24"/>
          <w:lang w:val="ru-RU"/>
        </w:rPr>
        <w:t>поставки продукции</w:t>
      </w:r>
      <w:bookmarkEnd w:id="16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0"/>
        <w:gridCol w:w="2550"/>
        <w:gridCol w:w="2979"/>
        <w:gridCol w:w="3116"/>
      </w:tblGrid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Позиция 1 Таблицы 1.1 ТТ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Начало: с момента подписания договора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Окончание: не позднее 01.10.2026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21" w:name="_Toc51339698"/>
      <w:bookmarkStart w:id="22" w:name="_Toc124165073"/>
      <w:bookmarkStart w:id="23" w:name="_Toc46743511"/>
      <w:r>
        <w:rPr/>
        <w:t xml:space="preserve">Требования к </w:t>
      </w:r>
      <w:bookmarkEnd w:id="23"/>
      <w:r>
        <w:rPr>
          <w:lang w:val="ru-RU"/>
        </w:rPr>
        <w:t>качеству продукции</w:t>
      </w:r>
      <w:bookmarkEnd w:id="22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4" w:name="_Toc124165074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24"/>
      <w:r>
        <w:rPr>
          <w:sz w:val="24"/>
          <w:szCs w:val="24"/>
        </w:rPr>
        <w:t xml:space="preserve"> </w:t>
      </w:r>
      <w:bookmarkEnd w:id="21"/>
    </w:p>
    <w:p>
      <w:pPr>
        <w:pStyle w:val="Normal"/>
        <w:rPr>
          <w:rStyle w:val="Style8"/>
          <w:b w:val="false"/>
        </w:rPr>
      </w:pPr>
      <w:r>
        <w:rPr>
          <w:b w:val="false"/>
        </w:rPr>
      </w:r>
    </w:p>
    <w:p>
      <w:pPr>
        <w:pStyle w:val="Normal"/>
        <w:jc w:val="both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(позиция №1 Таблицы 1.1):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auto" w:val="clear"/>
          <w:em w:val="none"/>
          <w:lang w:val="en-US" w:eastAsia="ru-RU" w:bidi="ar-SA"/>
        </w:rPr>
        <w:t>Поставка песчано-гравийной смеси для ДЭС Жилинда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p>
      <w:pPr>
        <w:pStyle w:val="Normal"/>
        <w:spacing w:before="0" w:after="120"/>
        <w:ind w:right="397" w:hanging="0"/>
        <w:jc w:val="both"/>
        <w:rPr>
          <w:rStyle w:val="Style8"/>
          <w:b w:val="false"/>
          <w:sz w:val="24"/>
          <w:szCs w:val="24"/>
          <w:shd w:fill="auto" w:val="clear"/>
        </w:rPr>
      </w:pPr>
      <w:r>
        <w:rPr>
          <w:b/>
          <w:bCs/>
          <w:sz w:val="24"/>
          <w:szCs w:val="24"/>
        </w:rPr>
        <w:t>Наименование продукции:</w:t>
      </w:r>
      <w:r>
        <w:rPr>
          <w:rStyle w:val="Style8"/>
          <w:rFonts w:eastAsia="Calibri" w:cs="Times New Roman"/>
          <w:b w:val="false"/>
          <w:bCs w:val="false"/>
          <w:i/>
          <w:color w:val="00000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auto" w:val="clear"/>
          <w:em w:val="none"/>
          <w:lang w:val="en-US" w:eastAsia="ru-RU" w:bidi="ar-SA"/>
        </w:rPr>
        <w:t>Поставка песчано-гравийной смеси для ДЭС Жилинда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tbl>
      <w:tblPr>
        <w:tblStyle w:val="1087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07"/>
        <w:gridCol w:w="1262"/>
        <w:gridCol w:w="1676"/>
        <w:gridCol w:w="1447"/>
        <w:gridCol w:w="2298"/>
        <w:gridCol w:w="1499"/>
        <w:gridCol w:w="1703"/>
        <w:gridCol w:w="1149"/>
        <w:gridCol w:w="1910"/>
        <w:gridCol w:w="1747"/>
      </w:tblGrid>
      <w:tr>
        <w:trPr>
          <w:trHeight w:val="311" w:hRule="atLeast"/>
        </w:trPr>
        <w:tc>
          <w:tcPr>
            <w:tcW w:w="60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262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позиции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br w:type="textWrapping" w:clear="all"/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Таблицы 1.1. «Перечень и объем закупаемой продукции»</w:t>
            </w:r>
          </w:p>
        </w:tc>
        <w:tc>
          <w:tcPr>
            <w:tcW w:w="167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524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Требования заказчика *</w:t>
            </w:r>
          </w:p>
        </w:tc>
        <w:tc>
          <w:tcPr>
            <w:tcW w:w="6509" w:type="dxa"/>
            <w:gridSpan w:val="4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участника**</w:t>
            </w:r>
          </w:p>
        </w:tc>
      </w:tr>
      <w:tr>
        <w:trPr>
          <w:trHeight w:val="726" w:hRule="atLeast"/>
        </w:trPr>
        <w:tc>
          <w:tcPr>
            <w:tcW w:w="6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67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bCs/>
                <w:kern w:val="0"/>
                <w:sz w:val="20"/>
                <w:szCs w:val="20"/>
                <w:lang w:val="ru-RU" w:eastAsia="en-US" w:bidi="ar-SA"/>
              </w:rPr>
              <w:t>(параметры эквивалентности)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19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17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</w:tr>
      <w:tr>
        <w:trPr>
          <w:trHeight w:val="223" w:hRule="atLeast"/>
        </w:trPr>
        <w:tc>
          <w:tcPr>
            <w:tcW w:w="6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26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16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19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17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607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26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Calibri"/>
                <w:i/>
                <w:iCs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Позиция 1</w:t>
            </w:r>
          </w:p>
        </w:tc>
        <w:tc>
          <w:tcPr>
            <w:tcW w:w="16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Arial"/>
                <w:color w:val="000000"/>
                <w:kern w:val="0"/>
                <w:sz w:val="20"/>
                <w:szCs w:val="20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447" w:type="dxa"/>
            <w:tcBorders/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Calibri" w:hAnsi="Calibr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ГОСТ 23735-2014</w:t>
            </w:r>
          </w:p>
        </w:tc>
        <w:tc>
          <w:tcPr>
            <w:tcW w:w="2298" w:type="dxa"/>
            <w:tcBorders/>
          </w:tcPr>
          <w:p>
            <w:pPr>
              <w:pStyle w:val="Normal"/>
              <w:widowControl w:val="false"/>
              <w:ind w:left="0" w:right="0" w:hanging="0"/>
              <w:rPr>
                <w:rFonts w:ascii="Times New Roman" w:hAnsi="Times New Roman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Обогащенная песчано-гравийная смесь с добавлением щебня (ОПГС), ГОСТ 23735-2014.</w:t>
            </w:r>
          </w:p>
          <w:p>
            <w:pPr>
              <w:pStyle w:val="Normal"/>
              <w:widowControl w:val="false"/>
              <w:ind w:left="0" w:right="0" w:hanging="0"/>
              <w:rPr>
                <w:rFonts w:ascii="Times New Roman" w:hAnsi="Times New Roman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Содержание гравия и щебня — не менее 50%, содержание песка — не более 50%.</w:t>
            </w:r>
          </w:p>
          <w:p>
            <w:pPr>
              <w:pStyle w:val="Normal"/>
              <w:widowControl w:val="false"/>
              <w:ind w:left="0" w:right="0" w:hanging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Максимальная крупность зерен крупного заполнителя: 40 мм (фракция 20-40 мм</w:t>
            </w:r>
          </w:p>
        </w:tc>
        <w:tc>
          <w:tcPr>
            <w:tcW w:w="14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РС(Я), Оленекский район, с. Жилинда, ДЭС  Жилинда</w:t>
            </w:r>
          </w:p>
        </w:tc>
        <w:tc>
          <w:tcPr>
            <w:tcW w:w="170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91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</w:tbl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3.1. Требования заказчика </w:t>
      </w:r>
    </w:p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tbl>
      <w:tblPr>
        <w:tblStyle w:val="1086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2"/>
        <w:gridCol w:w="1811"/>
        <w:gridCol w:w="4821"/>
        <w:gridCol w:w="2693"/>
        <w:gridCol w:w="2930"/>
        <w:gridCol w:w="2192"/>
      </w:tblGrid>
      <w:tr>
        <w:trPr/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8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9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1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8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9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1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9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 с ГОСТ</w:t>
            </w:r>
          </w:p>
        </w:tc>
        <w:tc>
          <w:tcPr>
            <w:tcW w:w="21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>указание характеристик (участником заполняется таблица 3</w:t>
            </w: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en-US" w:eastAsia="ru-RU" w:bidi="ar-SA"/>
              </w:rPr>
              <w:t>)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транспортированию и упаковке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Транспортировка осуществляется навалом в открытых железнодорожных вагонах, судах и большегрузных автомобилях.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2. Поставщик обязан обеспечить условия транспортировки, исключающие расслоение (сегрегацию) смеси, ее загрязнение посторонними примесями и переувлажнение.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3. При перевозке автотранспортом кузова должны быть укрыты пологами (тентами) для предотвращения выветривания мелких фракций и загрязнения окружающей среды.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4. Каждая партия товара должна сопровождаться оригиналом паспорта качества (сертификата соответствия) согласно ГОСТ 23735-2014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маркировке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И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effect w:val="none"/>
                <w:lang w:val="ru-RU" w:eastAsia="ru-RU" w:bidi="ar-SA"/>
              </w:rPr>
              <w:t>нформация о товаре указывается в товарно-транспортной накладной и паспорте (сертификате) качества на каждую партию.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2. Обязательные сведения: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effect w:val="none"/>
                <w:lang w:val="ru-RU" w:eastAsia="ru-RU" w:bidi="ar-SA"/>
              </w:rPr>
              <w:t>1) Наименование и адрес предприятия-изготовителя.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2) Условное обозначение смеси.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  <w:effect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3) Номер партии и дата отгрузки.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  <w:effect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4) Масса (в тоннах) или объем (в м³) поставляемого материала.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  <w:effect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effect w:val="none"/>
                <w:lang w:val="ru-RU" w:eastAsia="ru-RU" w:bidi="ar-SA"/>
              </w:rPr>
              <w:t>5) Содержание гравия (в процентах).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left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1. Приемка товара по количеству и качеству осуществляется по адресу: </w:t>
            </w:r>
            <w:r>
              <w:rPr>
                <w:rFonts w:eastAsia="Calibri" w:cs=""/>
                <w:i/>
                <w:iCs/>
                <w:kern w:val="0"/>
                <w:sz w:val="24"/>
                <w:szCs w:val="24"/>
                <w:lang w:val="ru-RU" w:eastAsia="en-US" w:bidi="ar-SA"/>
              </w:rPr>
              <w:t>РС(Я), Оленекский район, с. Жилинда, ДЭС  Жилинда.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В случае несоответствия поставленной продукции требованиям технического задания, Поставщик за свой счет производит замену несоответствующего товара согласованный между сторонами срок, в противном случае вся партия товара принята Заказчиком не будет.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Срок гарантии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На Товар устанавливается гарантийный срок не менее 12 (двенадцати) месяцев, который подлежит исчислению с даты подписания Сторонами товарной накладной по форме ТОРГ-12/УПД (далее – «Гарантийный срок»)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Предложение по сроку гарантии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вместе с товаром</w:t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Поставщик обязан одновременно с передачей товара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сертификаты качества;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технические паспорта;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товарно-транспортную накладную формы №1-Т;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товарную накладную унифицированной формы ТОРГ-12 /УПД в 2 экз.;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протоколы заводских испытаний.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Сведения о новизне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Поставляемая продукция должна быть новой (не бывшей в эксплуатации, не допускается поставка выставочных образцов), свободной от третьих лиц и работоспособной.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Дата выпуска: Не ранее 2026 года.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Условия поставки эквивалентной продукции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требуемого Заказчиком провода или его составных частей,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эквивалента, в объеме не меньшем, чем это указано в настоящих Технических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Эквивалентная продукция - это продукция, которое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Дополнительно на предлагаемую продукцию победитель должен представить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 победитель должен предоставить документ подтверждения соответствие материалов по  ГОСТ.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 Если победитель предложил продукцию, изготовленную согласно ТУ, то для проверки соответствия технических характеристик и требуемых параметров, Участник должен предоставить в составе своей заявки подписанные должным образом, отсканированную(ые) копию(и) (полный текст) ТУ, в соответствии с которыми выпускается продукция.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Предоставление документов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</w:t>
            </w:r>
          </w:p>
        </w:tc>
        <w:tc>
          <w:tcPr>
            <w:tcW w:w="14447" w:type="dxa"/>
            <w:gridSpan w:val="5"/>
            <w:tcBorders>
              <w:top w:val="nil"/>
            </w:tcBorders>
            <w:vAlign w:val="center"/>
          </w:tcPr>
          <w:p>
            <w:pPr>
              <w:pStyle w:val="Heading3"/>
              <w:widowControl w:val="false"/>
              <w:numPr>
                <w:ilvl w:val="0"/>
                <w:numId w:val="0"/>
              </w:numPr>
              <w:bidi w:val="0"/>
              <w:spacing w:before="120" w:after="60"/>
              <w:ind w:left="0" w:right="0" w:hanging="0"/>
              <w:jc w:val="both"/>
              <w:rPr>
                <w:highlight w:val="none"/>
                <w:shd w:fill="auto" w:val="clear"/>
              </w:rPr>
            </w:pPr>
            <w:bookmarkStart w:id="25" w:name="__RefHeading___Toc6884_173003830_Копия_1"/>
            <w:bookmarkEnd w:id="25"/>
            <w:r>
              <w:rPr>
                <w:rFonts w:eastAsia="Calibri"/>
                <w:b/>
                <w:color w:val="000000"/>
                <w:kern w:val="0"/>
                <w:shd w:fill="auto" w:val="clear"/>
              </w:rPr>
              <w:t xml:space="preserve">Требования по предоставлению национального режима </w:t>
            </w:r>
            <w:r>
              <w:rPr>
                <w:rFonts w:eastAsia="Calibri"/>
                <w:b w:val="false"/>
                <w:bCs w:val="false"/>
                <w:color w:val="000000"/>
                <w:kern w:val="0"/>
                <w:shd w:fill="auto" w:val="clear"/>
              </w:rPr>
              <w:t>при осуществлении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7.1.</w:t>
            </w:r>
          </w:p>
        </w:tc>
        <w:tc>
          <w:tcPr>
            <w:tcW w:w="1811" w:type="dxa"/>
            <w:tcBorders>
              <w:top w:val="nil"/>
            </w:tcBorders>
            <w:vAlign w:val="center"/>
          </w:tcPr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По позициям таблицы 1.1., по которым п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ри осуществлении закупки товара,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если Правительством РФ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установлено </w:t>
            </w:r>
            <w:hyperlink r:id="rId5" w:tgtFrame="https://login.consultant.ru/link/?req=doc&amp;base=LAW&amp;n=494318&amp;dst=100008">
              <w:r>
                <w:rPr>
                  <w:rFonts w:eastAsia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преимущество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в отношении товаров российского происхождения: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а)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подпункте «а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подпунктом «а»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настоящего пункта,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eastAsia="ru-RU"/>
              </w:rPr>
      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</w:tc>
        <w:tc>
          <w:tcPr>
            <w:tcW w:w="48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Указание в заявке на участие в закупке наименования страны происхождения товара в соответствии с Общероссийским классификатором стран мира (ОКСМ)</w:t>
            </w: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Autospacing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9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Участник должен предоставить в составе заявки Техническое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</w:tc>
        <w:tc>
          <w:tcPr>
            <w:tcW w:w="219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6"/>
          <w:headerReference w:type="first" r:id="rId7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26" w:name="_Toc51339699"/>
      <w:bookmarkStart w:id="27" w:name="_Toc46743519"/>
      <w:bookmarkStart w:id="28" w:name="_Toc124165075"/>
      <w:bookmarkStart w:id="29" w:name="_Toc53393312"/>
      <w:r>
        <w:rPr>
          <w:lang w:val="ru-RU"/>
        </w:rPr>
        <w:t>Требования к документации по ценообразованию</w:t>
      </w:r>
      <w:bookmarkEnd w:id="29"/>
      <w:r>
        <w:rPr>
          <w:lang w:val="ru-RU"/>
        </w:rPr>
        <w:t xml:space="preserve"> на этапе закупки</w:t>
      </w:r>
      <w:bookmarkEnd w:id="28"/>
    </w:p>
    <w:p>
      <w:pPr>
        <w:pStyle w:val="Heading1"/>
        <w:keepLines/>
        <w:tabs>
          <w:tab w:val="clear" w:pos="0"/>
        </w:tabs>
        <w:ind w:left="357" w:hanging="0"/>
        <w:rPr>
          <w:iCs/>
        </w:rPr>
      </w:pPr>
      <w:r>
        <w:rPr>
          <w:iCs/>
        </w:rPr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0" w:name="_Hlk88325985"/>
      <w:r>
        <w:rPr>
          <w:bCs/>
          <w:i/>
          <w:iCs/>
          <w:sz w:val="24"/>
          <w:szCs w:val="24"/>
        </w:rPr>
        <w:t>(с учетом прилагаемой к ней инструкции по заполнению)</w:t>
      </w:r>
      <w:bookmarkEnd w:id="30"/>
      <w:r>
        <w:rPr>
          <w:bCs/>
          <w:i/>
          <w:iCs/>
          <w:sz w:val="24"/>
          <w:szCs w:val="24"/>
        </w:rPr>
        <w:t>, приведенной в Документации о закупке.</w:t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bookmarkStart w:id="31" w:name="_Hlk88327292"/>
      <w:r>
        <w:rPr>
          <w:bCs/>
          <w:i/>
          <w:iCs/>
          <w:sz w:val="24"/>
          <w:szCs w:val="24"/>
        </w:rPr>
        <w:t>Дополнительные документы по ценообразованию</w:t>
      </w:r>
      <w:bookmarkEnd w:id="31"/>
      <w:r>
        <w:rPr>
          <w:bCs/>
          <w:i/>
          <w:iCs/>
          <w:sz w:val="24"/>
          <w:szCs w:val="24"/>
        </w:rPr>
        <w:t xml:space="preserve"> в состав заявки не включаются.</w:t>
      </w:r>
      <w:bookmarkEnd w:id="26"/>
      <w:bookmarkEnd w:id="27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center"/>
        <w:rPr/>
      </w:pPr>
      <w:r>
        <w:rPr/>
      </w:r>
      <w:bookmarkStart w:id="32" w:name="_GoBack"/>
      <w:bookmarkStart w:id="33" w:name="_GoBack"/>
      <w:bookmarkEnd w:id="33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/>
      </w:r>
    </w:p>
    <w:sectPr>
      <w:headerReference w:type="default" r:id="rId8"/>
      <w:headerReference w:type="first" r:id="rId9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0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val="0F4761" w:themeColor="accent1" w:themeShade="bf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val="0F4761" w:themeColor="accent1" w:themeShade="bf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Style16"/>
    <w:qFormat/>
    <w:pPr/>
    <w:rPr/>
  </w:style>
  <w:style w:type="paragraph" w:styleId="Style18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9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pPr>
      <w:jc w:val="center"/>
    </w:pPr>
    <w:rPr>
      <w:szCs w:val="20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pPr/>
    <w:rPr/>
  </w:style>
  <w:style w:type="paragraph" w:styleId="Style24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</w:rPr>
  </w:style>
  <w:style w:type="paragraph" w:styleId="Style26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9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3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Bul2" w:customStyle="1">
    <w:name w:val="ListBul2"/>
    <w:basedOn w:val="Normal"/>
    <w:qFormat/>
    <w:pPr>
      <w:numPr>
        <w:ilvl w:val="0"/>
        <w:numId w:val="9"/>
      </w:numPr>
      <w:tabs>
        <w:tab w:val="clear" w:pos="708"/>
        <w:tab w:val="left" w:pos="567" w:leader="none"/>
      </w:tabs>
      <w:jc w:val="both"/>
    </w:pPr>
    <w:rPr>
      <w:sz w:val="22"/>
      <w:szCs w:val="24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paragraph" w:styleId="Main14">
    <w:name w:val="Main 14"/>
    <w:basedOn w:val="Caption"/>
    <w:qFormat/>
    <w:pPr>
      <w:keepNext w:val="false"/>
      <w:keepLines w:val="false"/>
      <w:pageBreakBefore w:val="false"/>
      <w:widowControl/>
      <w:shd w:val="nil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paragraph" w:styleId="Style37">
    <w:name w:val="Содержимое списка"/>
    <w:basedOn w:val="Normal"/>
    <w:qFormat/>
    <w:pPr>
      <w:ind w:left="567" w:right="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styleId="802">
    <w:name w:val="Table Grid Light"/>
    <w:basedOn w:val="108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3">
    <w:name w:val="Plain Table 1"/>
    <w:basedOn w:val="108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4">
    <w:name w:val="Plain Table 2"/>
    <w:basedOn w:val="108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5">
    <w:name w:val="Plain Table 3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6">
    <w:name w:val="Plain Table 4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7">
    <w:name w:val="Plain Table 5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8">
    <w:name w:val="Grid Table 1 Light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9">
    <w:name w:val="Grid Table 1 Light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0">
    <w:name w:val="Grid Table 1 Light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1">
    <w:name w:val="Grid Table 1 Light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2">
    <w:name w:val="Grid Table 1 Light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3">
    <w:name w:val="Grid Table 1 Light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4">
    <w:name w:val="Grid Table 1 Light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5">
    <w:name w:val="Grid Table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6">
    <w:name w:val="Grid Table 2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7">
    <w:name w:val="Grid Table 2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8">
    <w:name w:val="Grid Table 2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9">
    <w:name w:val="Grid Table 2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0">
    <w:name w:val="Grid Table 2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1">
    <w:name w:val="Grid Table 2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2">
    <w:name w:val="Grid Table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3">
    <w:name w:val="Grid Table 3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4">
    <w:name w:val="Grid Table 3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5">
    <w:name w:val="Grid Table 3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6">
    <w:name w:val="Grid Table 3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7">
    <w:name w:val="Grid Table 3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8">
    <w:name w:val="Grid Table 3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9">
    <w:name w:val="Grid Table 4"/>
    <w:basedOn w:val="10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0">
    <w:name w:val="Grid Table 4 - Accent 1"/>
    <w:basedOn w:val="10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1">
    <w:name w:val="Grid Table 4 - Accent 2"/>
    <w:basedOn w:val="10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2">
    <w:name w:val="Grid Table 4 - Accent 3"/>
    <w:basedOn w:val="10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3">
    <w:name w:val="Grid Table 4 - Accent 4"/>
    <w:basedOn w:val="10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4">
    <w:name w:val="Grid Table 4 - Accent 5"/>
    <w:basedOn w:val="10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5">
    <w:name w:val="Grid Table 4 - Accent 6"/>
    <w:basedOn w:val="10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6">
    <w:name w:val="Grid Table 5 Dark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7">
    <w:name w:val="Grid Table 5 Dark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1" w:themeFillTint="75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8">
    <w:name w:val="Grid Table 5 Dark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9">
    <w:name w:val="Grid Table 5 Dark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0">
    <w:name w:val="Grid Table 5 Dark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1">
    <w:name w:val="Grid Table 5 Dark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5" w:themeFillTint="75"/>
      </w:tcPr>
    </w:tblStylePr>
    <w:tblStylePr w:type="band1Vert">
      <w:tblPr/>
      <w:tcPr>
        <w:shd w:val="clear" w:color="FFFFFF" w:fill="B4D1EC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2">
    <w:name w:val="Grid Table 5 Dark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3">
    <w:name w:val="Grid Table 6 Colorful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844">
    <w:name w:val="Grid Table 6 Colorful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3760AB" w:themeColor="accent1" w:themeTint="80" w:themeShade="95"/>
      </w:rPr>
      <w:tblPr/>
    </w:tblStylePr>
    <w:tblStylePr w:type="firstRow">
      <w:rPr>
        <w:b/>
        <w:color w:val="3760AB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760AB" w:themeColor="accent1" w:themeTint="80" w:themeShade="95"/>
      </w:rPr>
      <w:tblPr/>
    </w:tblStylePr>
    <w:tblStylePr w:type="lastRow">
      <w:rPr>
        <w:b/>
        <w:color w:val="3760AB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845">
    <w:name w:val="Grid Table 6 Colorful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846">
    <w:name w:val="Grid Table 6 Colorful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847">
    <w:name w:val="Grid Table 6 Colorful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848">
    <w:name w:val="Grid Table 6 Colorful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849">
    <w:name w:val="Grid Table 6 Colorful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850">
    <w:name w:val="Grid Table 7 Colorful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1">
    <w:name w:val="Grid Table 7 Colorful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760AB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3760AB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760AB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2">
    <w:name w:val="Grid Table 7 Colorful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3">
    <w:name w:val="Grid Table 7 Colorful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4">
    <w:name w:val="Grid Table 7 Colorful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5">
    <w:name w:val="Grid Table 7 Colorful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B8D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245B8D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B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6">
    <w:name w:val="Grid Table 7 Colorful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16529"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16529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165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7">
    <w:name w:val="List Table 1 Light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8">
    <w:name w:val="List Table 1 Light - Accent 1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9">
    <w:name w:val="List Table 1 Light - Accent 2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0">
    <w:name w:val="List Table 1 Light - Accent 3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1">
    <w:name w:val="List Table 1 Light - Accent 4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2">
    <w:name w:val="List Table 1 Light - Accent 5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3">
    <w:name w:val="List Table 1 Light - Accent 6"/>
    <w:basedOn w:val="10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4">
    <w:name w:val="List Table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5">
    <w:name w:val="List Table 2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6">
    <w:name w:val="List Table 2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7">
    <w:name w:val="List Table 2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8">
    <w:name w:val="List Table 2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9">
    <w:name w:val="List Table 2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0">
    <w:name w:val="List Table 2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1">
    <w:name w:val="List Table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2">
    <w:name w:val="List Table 3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3">
    <w:name w:val="List Table 3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4">
    <w:name w:val="List Table 3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5">
    <w:name w:val="List Table 3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6">
    <w:name w:val="List Table 3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3E6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7">
    <w:name w:val="List Table 3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8">
    <w:name w:val="List Table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9">
    <w:name w:val="List Table 4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0">
    <w:name w:val="List Table 4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1">
    <w:name w:val="List Table 4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2">
    <w:name w:val="List Table 4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3">
    <w:name w:val="List Table 4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4">
    <w:name w:val="List Table 4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5">
    <w:name w:val="List Table 5 Dark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886">
    <w:name w:val="List Table 5 Dark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887">
    <w:name w:val="List Table 5 Dark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888">
    <w:name w:val="List Table 5 Dark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889">
    <w:name w:val="List Table 5 Dark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890">
    <w:name w:val="List Table 5 Dark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891">
    <w:name w:val="List Table 5 Dark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892">
    <w:name w:val="List Table 6 Colorful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3">
    <w:name w:val="List Table 6 Colorful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254275" w:themeColor="accent1" w:themeShade="95"/>
      </w:rPr>
      <w:tblPr/>
    </w:tblStylePr>
    <w:tblStylePr w:type="firstRow">
      <w:rPr>
        <w:b/>
        <w:color w:val="254275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tblPr/>
    </w:tblStylePr>
    <w:tblStylePr w:type="lastRow">
      <w:rPr>
        <w:b/>
        <w:color w:val="254275"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4">
    <w:name w:val="List Table 6 Colorful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5">
    <w:name w:val="List Table 6 Colorful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6">
    <w:name w:val="List Table 6 Colorful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7">
    <w:name w:val="List Table 6 Colorful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2D74B4" w:themeColor="accent5" w:themeTint="9a" w:themeShade="95"/>
      </w:rPr>
      <w:tblPr/>
    </w:tblStylePr>
    <w:tblStylePr w:type="firstRow">
      <w:rPr>
        <w:b/>
        <w:color w:val="2D74B4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D74B4" w:themeColor="accent5" w:themeTint="9a" w:themeShade="95"/>
      </w:rPr>
      <w:tblPr/>
    </w:tblStylePr>
    <w:tblStylePr w:type="lastRow">
      <w:rPr>
        <w:b/>
        <w:color w:val="2D74B4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8">
    <w:name w:val="List Table 6 Colorful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5E923C" w:themeColor="accent6" w:themeTint="98" w:themeShade="95"/>
      </w:rPr>
      <w:tblPr/>
    </w:tblStylePr>
    <w:tblStylePr w:type="firstRow">
      <w:rPr>
        <w:b/>
        <w:color w:val="5E92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tblPr/>
    </w:tblStylePr>
    <w:tblStylePr w:type="lastRow">
      <w:rPr>
        <w:b/>
        <w:color w:val="5E92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9">
    <w:name w:val="List Table 7 Colorful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900">
    <w:name w:val="List Table 7 Colorful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275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254275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275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54275" w:themeColor="accent1" w:themeShade="95"/>
        <w:sz w:val="22"/>
      </w:rPr>
      <w:tblPr/>
    </w:tblStylePr>
  </w:style>
  <w:style w:type="table" w:styleId="901">
    <w:name w:val="List Table 7 Colorful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CA5D12" w:themeColor="accent2" w:themeTint="97" w:themeShade="95"/>
        <w:sz w:val="22"/>
      </w:rPr>
      <w:tblPr/>
    </w:tblStylePr>
  </w:style>
  <w:style w:type="table" w:styleId="902">
    <w:name w:val="List Table 7 Colorful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903">
    <w:name w:val="List Table 7 Colorful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D09D00" w:themeColor="accent4" w:themeTint="9a" w:themeShade="95"/>
        <w:sz w:val="22"/>
      </w:rPr>
      <w:tblPr/>
    </w:tblStylePr>
  </w:style>
  <w:style w:type="table" w:styleId="904">
    <w:name w:val="List Table 7 Colorful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D74B4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2D74B4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D74B4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D74B4" w:themeColor="accent5" w:themeTint="9a" w:themeShade="95"/>
        <w:sz w:val="22"/>
      </w:rPr>
      <w:tblPr/>
    </w:tblStylePr>
  </w:style>
  <w:style w:type="table" w:styleId="905">
    <w:name w:val="List Table 7 Colorful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E923C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5E923C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E92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5E923C" w:themeColor="accent6" w:themeTint="98" w:themeShade="95"/>
        <w:sz w:val="22"/>
      </w:rPr>
      <w:tblPr/>
    </w:tblStylePr>
  </w:style>
  <w:style w:type="table" w:styleId="906">
    <w:name w:val="Lined - Accent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7">
    <w:name w:val="Lined - Accent 1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8">
    <w:name w:val="Lined - Accent 2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9">
    <w:name w:val="Lined - Accent 3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0">
    <w:name w:val="Lined - Accent 4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1">
    <w:name w:val="Lined - Accent 5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2">
    <w:name w:val="Lined - Accent 6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3">
    <w:name w:val="Bordered &amp; Lined - Accent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4">
    <w:name w:val="Bordered &amp; Lined - Accent 1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5">
    <w:name w:val="Bordered &amp; Lined - Accent 2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6">
    <w:name w:val="Bordered &amp; Lined - Accent 3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7">
    <w:name w:val="Bordered &amp; Lined - Accent 4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8">
    <w:name w:val="Bordered &amp; Lined - Accent 5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9">
    <w:name w:val="Bordered &amp; Lined - Accent 6"/>
    <w:basedOn w:val="10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0">
    <w:name w:val="Bordered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1">
    <w:name w:val="Bordered - Accent 1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2">
    <w:name w:val="Bordered - Accent 2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3">
    <w:name w:val="Bordered - Accent 3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4">
    <w:name w:val="Bordered - Accent 4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5">
    <w:name w:val="Bordered - Accent 5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6">
    <w:name w:val="Bordered - Accent 6"/>
    <w:basedOn w:val="10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1085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6">
    <w:name w:val="Table Grid"/>
    <w:basedOn w:val="108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87">
    <w:name w:val="Сетка таблицы1"/>
    <w:basedOn w:val="1085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login.consultant.ru/link/?req=doc&amp;base=LAW&amp;n=494318&amp;dst=100008" TargetMode="Externa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2A287-4659-4C97-B954-C9413833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AlterOffice/3.4.0.8$Linux_X86_64 LibreOffice_project/8f3f3c847f0b8d6fea24e251d3d8ed4f23cbe23c</Application>
  <AppVersion>15.0000</AppVersion>
  <Pages>12</Pages>
  <Words>1306</Words>
  <Characters>9024</Characters>
  <CharactersWithSpaces>10041</CharactersWithSpaces>
  <Paragraphs>225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2024-09-20T07:14:00Z</dcterms:created>
  <dc:creator>Быстров Олег Геннадьевич</dc:creator>
  <dc:description/>
  <dc:language>ru-RU</dc:language>
  <cp:lastModifiedBy/>
  <dcterms:modified xsi:type="dcterms:W3CDTF">2026-06-01T16:53:49Z</dcterms:modified>
  <cp:revision>79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